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7A" w:rsidRDefault="00ED197A" w:rsidP="00002C7A">
      <w:pPr>
        <w:outlineLvl w:val="0"/>
        <w:rPr>
          <w:rFonts w:ascii="Tahoma" w:hAnsi="Tahoma" w:cs="Tahoma"/>
          <w:sz w:val="20"/>
          <w:szCs w:val="20"/>
        </w:rPr>
      </w:pPr>
      <w:r>
        <w:rPr>
          <w:noProof/>
        </w:rPr>
        <w:drawing>
          <wp:anchor distT="0" distB="0" distL="114300" distR="114300" simplePos="0" relativeHeight="251659264" behindDoc="0" locked="0" layoutInCell="1" allowOverlap="1" wp14:anchorId="244F7762" wp14:editId="17A3AF9D">
            <wp:simplePos x="0" y="0"/>
            <wp:positionH relativeFrom="margin">
              <wp:align>center</wp:align>
            </wp:positionH>
            <wp:positionV relativeFrom="paragraph">
              <wp:posOffset>-52705</wp:posOffset>
            </wp:positionV>
            <wp:extent cx="648335" cy="695325"/>
            <wp:effectExtent l="0" t="0" r="0" b="9525"/>
            <wp:wrapNone/>
            <wp:docPr id="1" name="Picture 1" descr="Image result for canyond del 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yond del o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335" cy="695325"/>
                    </a:xfrm>
                    <a:prstGeom prst="rect">
                      <a:avLst/>
                    </a:prstGeom>
                    <a:noFill/>
                  </pic:spPr>
                </pic:pic>
              </a:graphicData>
            </a:graphic>
            <wp14:sizeRelH relativeFrom="page">
              <wp14:pctWidth>0</wp14:pctWidth>
            </wp14:sizeRelH>
            <wp14:sizeRelV relativeFrom="page">
              <wp14:pctHeight>0</wp14:pctHeight>
            </wp14:sizeRelV>
          </wp:anchor>
        </w:drawing>
      </w:r>
      <w:r w:rsidR="00002C7A">
        <w:rPr>
          <w:rFonts w:ascii="Tahoma" w:hAnsi="Tahoma" w:cs="Tahoma"/>
          <w:sz w:val="20"/>
          <w:szCs w:val="20"/>
        </w:rPr>
        <w:t xml:space="preserve"> </w:t>
      </w:r>
    </w:p>
    <w:p w:rsidR="00002C7A" w:rsidRDefault="00002C7A" w:rsidP="00002C7A"/>
    <w:p w:rsidR="00002C7A" w:rsidRDefault="00002C7A" w:rsidP="00002C7A">
      <w:pPr>
        <w:jc w:val="center"/>
        <w:rPr>
          <w:rFonts w:ascii="Calibri" w:hAnsi="Calibri"/>
          <w:b/>
          <w:bCs/>
          <w:color w:val="231916"/>
        </w:rPr>
      </w:pPr>
    </w:p>
    <w:p w:rsidR="00002C7A" w:rsidRDefault="00002C7A" w:rsidP="00002C7A">
      <w:pPr>
        <w:jc w:val="center"/>
        <w:rPr>
          <w:rFonts w:ascii="Calibri" w:hAnsi="Calibri"/>
          <w:b/>
          <w:bCs/>
          <w:color w:val="231916"/>
        </w:rPr>
      </w:pPr>
      <w:bookmarkStart w:id="0" w:name="_GoBack"/>
      <w:bookmarkEnd w:id="0"/>
    </w:p>
    <w:p w:rsidR="00002C7A" w:rsidRDefault="00002C7A" w:rsidP="00002C7A">
      <w:pPr>
        <w:autoSpaceDE w:val="0"/>
        <w:autoSpaceDN w:val="0"/>
        <w:jc w:val="center"/>
        <w:rPr>
          <w:rFonts w:ascii="Calibri" w:hAnsi="Calibri"/>
          <w:b/>
          <w:bCs/>
          <w:color w:val="231916"/>
          <w:sz w:val="20"/>
          <w:szCs w:val="20"/>
        </w:rPr>
      </w:pPr>
    </w:p>
    <w:p w:rsidR="00002C7A" w:rsidRDefault="00002C7A" w:rsidP="00002C7A">
      <w:pPr>
        <w:numPr>
          <w:ilvl w:val="0"/>
          <w:numId w:val="1"/>
        </w:numPr>
        <w:autoSpaceDE w:val="0"/>
        <w:autoSpaceDN w:val="0"/>
        <w:rPr>
          <w:rFonts w:ascii="Papyrus" w:eastAsia="Times New Roman" w:hAnsi="Papyrus"/>
          <w:b/>
          <w:bCs/>
          <w:color w:val="231916"/>
          <w:sz w:val="20"/>
          <w:szCs w:val="20"/>
        </w:rPr>
      </w:pPr>
      <w:r>
        <w:rPr>
          <w:rFonts w:ascii="Papyrus" w:eastAsia="Times New Roman" w:hAnsi="Papyrus"/>
          <w:b/>
          <w:bCs/>
          <w:color w:val="231916"/>
          <w:sz w:val="20"/>
          <w:szCs w:val="20"/>
        </w:rPr>
        <w:t>Integrated Day Program Description/Overview</w:t>
      </w:r>
    </w:p>
    <w:p w:rsidR="00002C7A" w:rsidRDefault="00002C7A" w:rsidP="00002C7A">
      <w:pPr>
        <w:autoSpaceDE w:val="0"/>
        <w:autoSpaceDN w:val="0"/>
        <w:ind w:left="720"/>
        <w:rPr>
          <w:rFonts w:ascii="Papyrus" w:hAnsi="Papyrus"/>
          <w:color w:val="231916"/>
          <w:sz w:val="20"/>
          <w:szCs w:val="20"/>
        </w:rPr>
      </w:pPr>
      <w:r>
        <w:rPr>
          <w:rFonts w:ascii="Papyrus" w:hAnsi="Papyrus"/>
          <w:color w:val="231916"/>
          <w:sz w:val="20"/>
          <w:szCs w:val="20"/>
        </w:rPr>
        <w:t xml:space="preserve">Students are placed in the Integrated Day Program </w:t>
      </w:r>
      <w:r>
        <w:rPr>
          <w:rFonts w:ascii="Papyrus" w:hAnsi="Papyrus"/>
          <w:color w:val="1F497D"/>
          <w:sz w:val="20"/>
          <w:szCs w:val="20"/>
        </w:rPr>
        <w:t>b</w:t>
      </w:r>
      <w:r>
        <w:rPr>
          <w:rFonts w:ascii="Papyrus" w:hAnsi="Papyrus"/>
          <w:color w:val="231916"/>
          <w:sz w:val="20"/>
          <w:szCs w:val="20"/>
        </w:rPr>
        <w:t xml:space="preserve">ased on the decision of an IEP (Individualized Education Plan). The Integrated Day Program is a specialized program within the cascade of services offered in the Special </w:t>
      </w:r>
      <w:r>
        <w:rPr>
          <w:rFonts w:ascii="Papyrus" w:hAnsi="Papyrus"/>
          <w:color w:val="1F497D"/>
          <w:sz w:val="20"/>
          <w:szCs w:val="20"/>
        </w:rPr>
        <w:t>E</w:t>
      </w:r>
      <w:r>
        <w:rPr>
          <w:rFonts w:ascii="Papyrus" w:hAnsi="Papyrus"/>
          <w:color w:val="231916"/>
          <w:sz w:val="20"/>
          <w:szCs w:val="20"/>
        </w:rPr>
        <w:t>ducation (Support Program). Our students are typically educationally identified as adolescents with emotional disabilities and receive prescriptive services ranging from academic and behavioral monitoring and inclusion to a variety</w:t>
      </w:r>
      <w:r>
        <w:rPr>
          <w:rFonts w:ascii="Papyrus" w:hAnsi="Papyrus"/>
          <w:color w:val="1F497D"/>
          <w:sz w:val="20"/>
          <w:szCs w:val="20"/>
        </w:rPr>
        <w:t xml:space="preserve"> of</w:t>
      </w:r>
      <w:r>
        <w:rPr>
          <w:rFonts w:ascii="Papyrus" w:hAnsi="Papyrus"/>
          <w:color w:val="231916"/>
          <w:sz w:val="20"/>
          <w:szCs w:val="20"/>
        </w:rPr>
        <w:t xml:space="preserve"> more restrictive settings. The IDP is headquartered in room C416 (frequently referred to as “The Portable”. Our facility is frequently used as a location for students to take or be placed in “time out” in order to refocus </w:t>
      </w:r>
      <w:r>
        <w:rPr>
          <w:rFonts w:ascii="Papyrus" w:hAnsi="Papyrus"/>
          <w:color w:val="1F497D"/>
          <w:sz w:val="20"/>
          <w:szCs w:val="20"/>
        </w:rPr>
        <w:t>on</w:t>
      </w:r>
      <w:r>
        <w:rPr>
          <w:rFonts w:ascii="Papyrus" w:hAnsi="Papyrus"/>
          <w:color w:val="231916"/>
          <w:sz w:val="20"/>
          <w:szCs w:val="20"/>
        </w:rPr>
        <w:t xml:space="preserve"> their emotional state. </w:t>
      </w:r>
    </w:p>
    <w:p w:rsidR="00002C7A" w:rsidRDefault="00002C7A" w:rsidP="00002C7A">
      <w:pPr>
        <w:autoSpaceDE w:val="0"/>
        <w:autoSpaceDN w:val="0"/>
        <w:ind w:left="720"/>
        <w:rPr>
          <w:rFonts w:ascii="Papyrus" w:hAnsi="Papyrus"/>
          <w:color w:val="231916"/>
          <w:sz w:val="20"/>
          <w:szCs w:val="20"/>
        </w:rPr>
      </w:pPr>
      <w:r>
        <w:rPr>
          <w:rFonts w:ascii="Papyrus" w:hAnsi="Papyrus"/>
          <w:color w:val="231916"/>
          <w:sz w:val="20"/>
          <w:szCs w:val="20"/>
        </w:rPr>
        <w:t xml:space="preserve">This Program is designed to assist students and their </w:t>
      </w:r>
      <w:proofErr w:type="gramStart"/>
      <w:r>
        <w:rPr>
          <w:rFonts w:ascii="Papyrus" w:hAnsi="Papyrus"/>
          <w:color w:val="231916"/>
          <w:sz w:val="20"/>
          <w:szCs w:val="20"/>
        </w:rPr>
        <w:t>famil</w:t>
      </w:r>
      <w:r>
        <w:rPr>
          <w:rFonts w:ascii="Papyrus" w:hAnsi="Papyrus"/>
          <w:color w:val="1F497D"/>
          <w:sz w:val="20"/>
          <w:szCs w:val="20"/>
        </w:rPr>
        <w:t>ies</w:t>
      </w:r>
      <w:proofErr w:type="gramEnd"/>
      <w:r>
        <w:rPr>
          <w:rFonts w:ascii="Papyrus" w:hAnsi="Papyrus"/>
          <w:color w:val="231916"/>
          <w:sz w:val="20"/>
          <w:szCs w:val="20"/>
        </w:rPr>
        <w:t xml:space="preserve"> transition from school to post-secondary life with a reality based approach.</w:t>
      </w:r>
    </w:p>
    <w:p w:rsidR="00002C7A" w:rsidRDefault="00002C7A" w:rsidP="00002C7A">
      <w:pPr>
        <w:autoSpaceDE w:val="0"/>
        <w:autoSpaceDN w:val="0"/>
        <w:ind w:left="720"/>
        <w:rPr>
          <w:rFonts w:ascii="Papyrus" w:hAnsi="Papyrus"/>
          <w:color w:val="231916"/>
          <w:sz w:val="20"/>
          <w:szCs w:val="20"/>
        </w:rPr>
      </w:pPr>
      <w:r>
        <w:rPr>
          <w:rFonts w:ascii="Papyrus" w:hAnsi="Papyrus"/>
          <w:color w:val="231916"/>
          <w:sz w:val="20"/>
          <w:szCs w:val="20"/>
        </w:rPr>
        <w:t>.</w:t>
      </w:r>
    </w:p>
    <w:p w:rsidR="00002C7A" w:rsidRDefault="00002C7A" w:rsidP="00002C7A">
      <w:pPr>
        <w:numPr>
          <w:ilvl w:val="0"/>
          <w:numId w:val="1"/>
        </w:numPr>
        <w:rPr>
          <w:rFonts w:ascii="Papyrus" w:eastAsia="Times New Roman" w:hAnsi="Papyrus"/>
          <w:sz w:val="20"/>
          <w:szCs w:val="20"/>
        </w:rPr>
      </w:pPr>
      <w:r>
        <w:rPr>
          <w:rFonts w:ascii="Papyrus" w:eastAsia="Times New Roman" w:hAnsi="Papyrus"/>
          <w:b/>
          <w:bCs/>
          <w:sz w:val="20"/>
          <w:szCs w:val="20"/>
        </w:rPr>
        <w:t>Course Description:</w:t>
      </w:r>
      <w:r>
        <w:rPr>
          <w:rFonts w:ascii="Papyrus" w:eastAsia="Times New Roman" w:hAnsi="Papyrus"/>
          <w:sz w:val="20"/>
          <w:szCs w:val="20"/>
        </w:rPr>
        <w:t xml:space="preserve"> Students who are placed in the Study Skills Class component of the Integrated Day Program receive a scheduled time/place to complete assignments from other classes, earn/recover class credits via an online learning program (</w:t>
      </w:r>
      <w:proofErr w:type="spellStart"/>
      <w:r>
        <w:rPr>
          <w:rFonts w:ascii="Papyrus" w:eastAsia="Times New Roman" w:hAnsi="Papyrus"/>
          <w:sz w:val="20"/>
          <w:szCs w:val="20"/>
        </w:rPr>
        <w:t>Odysseyware</w:t>
      </w:r>
      <w:proofErr w:type="spellEnd"/>
      <w:r>
        <w:rPr>
          <w:rFonts w:ascii="Papyrus" w:eastAsia="Times New Roman" w:hAnsi="Papyrus"/>
          <w:sz w:val="20"/>
          <w:szCs w:val="20"/>
        </w:rPr>
        <w:t xml:space="preserve">), or focus on interpersonal </w:t>
      </w:r>
      <w:proofErr w:type="gramStart"/>
      <w:r>
        <w:rPr>
          <w:rFonts w:ascii="Papyrus" w:eastAsia="Times New Roman" w:hAnsi="Papyrus"/>
          <w:sz w:val="20"/>
          <w:szCs w:val="20"/>
        </w:rPr>
        <w:t>social</w:t>
      </w:r>
      <w:proofErr w:type="gramEnd"/>
      <w:r>
        <w:rPr>
          <w:rFonts w:ascii="Papyrus" w:eastAsia="Times New Roman" w:hAnsi="Papyrus"/>
          <w:sz w:val="20"/>
          <w:szCs w:val="20"/>
        </w:rPr>
        <w:t xml:space="preserve"> skills/, receive emotional or behavioral support, or have time to decompress. This elective course is offered to all grade levels. Students may take one or both semesters. The curriculum will focus on strategies for achieving success</w:t>
      </w:r>
      <w:proofErr w:type="gramStart"/>
      <w:r>
        <w:rPr>
          <w:rFonts w:ascii="Papyrus" w:eastAsia="Times New Roman" w:hAnsi="Papyrus"/>
          <w:sz w:val="20"/>
          <w:szCs w:val="20"/>
        </w:rPr>
        <w:t>..</w:t>
      </w:r>
      <w:proofErr w:type="gramEnd"/>
      <w:r>
        <w:rPr>
          <w:rFonts w:ascii="Papyrus" w:eastAsia="Times New Roman" w:hAnsi="Papyrus"/>
          <w:sz w:val="20"/>
          <w:szCs w:val="20"/>
        </w:rPr>
        <w:t xml:space="preserve"> Online credit may be earned in English, Math, Science, Social Studies, PE</w:t>
      </w:r>
      <w:r>
        <w:rPr>
          <w:rFonts w:ascii="Papyrus" w:eastAsia="Times New Roman" w:hAnsi="Papyrus"/>
          <w:color w:val="1F497D"/>
          <w:sz w:val="20"/>
          <w:szCs w:val="20"/>
        </w:rPr>
        <w:t xml:space="preserve"> and numerous elective courses.</w:t>
      </w:r>
    </w:p>
    <w:p w:rsidR="00002C7A" w:rsidRDefault="00002C7A" w:rsidP="00002C7A">
      <w:pPr>
        <w:autoSpaceDE w:val="0"/>
        <w:autoSpaceDN w:val="0"/>
        <w:ind w:left="720"/>
        <w:rPr>
          <w:rFonts w:ascii="Papyrus" w:hAnsi="Papyrus"/>
          <w:b/>
          <w:bCs/>
          <w:color w:val="231916"/>
          <w:sz w:val="20"/>
          <w:szCs w:val="20"/>
        </w:rPr>
      </w:pPr>
    </w:p>
    <w:p w:rsidR="00002C7A" w:rsidRDefault="00002C7A" w:rsidP="00002C7A">
      <w:pPr>
        <w:numPr>
          <w:ilvl w:val="0"/>
          <w:numId w:val="1"/>
        </w:numPr>
        <w:autoSpaceDE w:val="0"/>
        <w:autoSpaceDN w:val="0"/>
        <w:rPr>
          <w:rFonts w:ascii="Papyrus" w:eastAsia="Times New Roman" w:hAnsi="Papyrus"/>
          <w:b/>
          <w:bCs/>
          <w:color w:val="231916"/>
          <w:sz w:val="20"/>
          <w:szCs w:val="20"/>
        </w:rPr>
      </w:pPr>
      <w:r>
        <w:rPr>
          <w:rFonts w:ascii="Papyrus" w:eastAsia="Times New Roman" w:hAnsi="Papyrus"/>
          <w:b/>
          <w:bCs/>
          <w:color w:val="231916"/>
          <w:sz w:val="20"/>
          <w:szCs w:val="20"/>
        </w:rPr>
        <w:t>Course Materials</w:t>
      </w:r>
    </w:p>
    <w:p w:rsidR="00002C7A" w:rsidRDefault="00002C7A" w:rsidP="00002C7A">
      <w:pPr>
        <w:ind w:left="720" w:firstLine="60"/>
        <w:rPr>
          <w:rFonts w:ascii="Papyrus" w:hAnsi="Papyrus"/>
          <w:sz w:val="20"/>
          <w:szCs w:val="20"/>
        </w:rPr>
      </w:pPr>
      <w:r>
        <w:rPr>
          <w:rFonts w:ascii="Papyrus" w:hAnsi="Papyrus"/>
          <w:sz w:val="20"/>
          <w:szCs w:val="20"/>
        </w:rPr>
        <w:t xml:space="preserve">There are no required textbooks for this class. Supplementary materials used in class are taken from a number of sources and may include Power Point </w:t>
      </w:r>
      <w:r>
        <w:rPr>
          <w:rFonts w:ascii="Papyrus" w:hAnsi="Papyrus"/>
          <w:color w:val="1F497D"/>
          <w:sz w:val="20"/>
          <w:szCs w:val="20"/>
        </w:rPr>
        <w:t>p</w:t>
      </w:r>
      <w:r>
        <w:rPr>
          <w:rFonts w:ascii="Papyrus" w:hAnsi="Papyrus"/>
          <w:sz w:val="20"/>
          <w:szCs w:val="20"/>
        </w:rPr>
        <w:t>resentations, handouts, worksheets, notes, online programs, etc. Students are expected to bring the materials they need to be successful daily.</w:t>
      </w:r>
    </w:p>
    <w:p w:rsidR="00002C7A" w:rsidRDefault="00002C7A" w:rsidP="00002C7A">
      <w:pPr>
        <w:autoSpaceDE w:val="0"/>
        <w:autoSpaceDN w:val="0"/>
        <w:rPr>
          <w:rFonts w:ascii="Papyrus" w:hAnsi="Papyrus"/>
          <w:sz w:val="20"/>
          <w:szCs w:val="20"/>
        </w:rPr>
      </w:pPr>
      <w:r>
        <w:rPr>
          <w:rFonts w:ascii="Papyrus" w:hAnsi="Papyrus"/>
          <w:sz w:val="20"/>
          <w:szCs w:val="20"/>
        </w:rPr>
        <w:t xml:space="preserve">                Weekly progress reports will be emailed to teachers of IDP students. Those Portable Weekly  </w:t>
      </w:r>
    </w:p>
    <w:p w:rsidR="00002C7A" w:rsidRDefault="00002C7A" w:rsidP="00002C7A">
      <w:pPr>
        <w:autoSpaceDE w:val="0"/>
        <w:autoSpaceDN w:val="0"/>
        <w:ind w:left="720"/>
        <w:rPr>
          <w:rFonts w:ascii="Papyrus" w:hAnsi="Papyrus"/>
          <w:sz w:val="20"/>
          <w:szCs w:val="20"/>
        </w:rPr>
      </w:pPr>
      <w:r>
        <w:rPr>
          <w:rFonts w:ascii="Papyrus" w:hAnsi="Papyrus"/>
          <w:sz w:val="20"/>
          <w:szCs w:val="20"/>
        </w:rPr>
        <w:t>Progress Reports that are returned will be emailed home to students and their families. In addition, progress is monitored/discussed with the student.</w:t>
      </w:r>
    </w:p>
    <w:p w:rsidR="00002C7A" w:rsidRDefault="00002C7A" w:rsidP="00002C7A">
      <w:pPr>
        <w:autoSpaceDE w:val="0"/>
        <w:autoSpaceDN w:val="0"/>
        <w:rPr>
          <w:rFonts w:ascii="Papyrus" w:hAnsi="Papyrus"/>
          <w:b/>
          <w:bCs/>
          <w:color w:val="231916"/>
          <w:sz w:val="20"/>
          <w:szCs w:val="20"/>
        </w:rPr>
      </w:pPr>
    </w:p>
    <w:p w:rsidR="00002C7A" w:rsidRDefault="00002C7A" w:rsidP="00002C7A">
      <w:pPr>
        <w:numPr>
          <w:ilvl w:val="0"/>
          <w:numId w:val="1"/>
        </w:numPr>
        <w:autoSpaceDE w:val="0"/>
        <w:autoSpaceDN w:val="0"/>
        <w:rPr>
          <w:rFonts w:ascii="Papyrus" w:eastAsia="Times New Roman" w:hAnsi="Papyrus"/>
          <w:b/>
          <w:bCs/>
          <w:color w:val="231916"/>
          <w:sz w:val="20"/>
          <w:szCs w:val="20"/>
        </w:rPr>
      </w:pPr>
      <w:r>
        <w:rPr>
          <w:rFonts w:ascii="Papyrus" w:eastAsia="Times New Roman" w:hAnsi="Papyrus"/>
          <w:b/>
          <w:bCs/>
          <w:color w:val="231916"/>
          <w:sz w:val="20"/>
          <w:szCs w:val="20"/>
        </w:rPr>
        <w:t>Course Policies</w:t>
      </w:r>
    </w:p>
    <w:p w:rsidR="00002C7A" w:rsidRDefault="00002C7A" w:rsidP="00002C7A">
      <w:pPr>
        <w:autoSpaceDE w:val="0"/>
        <w:autoSpaceDN w:val="0"/>
        <w:ind w:left="720"/>
        <w:rPr>
          <w:rFonts w:ascii="Papyrus" w:hAnsi="Papyrus"/>
          <w:color w:val="231916"/>
          <w:sz w:val="20"/>
          <w:szCs w:val="20"/>
        </w:rPr>
      </w:pPr>
      <w:r>
        <w:rPr>
          <w:rFonts w:ascii="Papyrus" w:hAnsi="Papyrus"/>
          <w:color w:val="231916"/>
          <w:sz w:val="20"/>
          <w:szCs w:val="20"/>
        </w:rPr>
        <w:t xml:space="preserve">Students are expected to attend and be on time…..period. </w:t>
      </w:r>
    </w:p>
    <w:p w:rsidR="00002C7A" w:rsidRDefault="00002C7A" w:rsidP="00002C7A">
      <w:pPr>
        <w:autoSpaceDE w:val="0"/>
        <w:autoSpaceDN w:val="0"/>
        <w:ind w:left="720"/>
        <w:rPr>
          <w:rFonts w:ascii="Papyrus" w:hAnsi="Papyrus"/>
          <w:color w:val="231916"/>
          <w:sz w:val="20"/>
          <w:szCs w:val="20"/>
        </w:rPr>
      </w:pPr>
      <w:r>
        <w:rPr>
          <w:rFonts w:ascii="Papyrus" w:hAnsi="Papyrus"/>
          <w:color w:val="231916"/>
          <w:sz w:val="20"/>
          <w:szCs w:val="20"/>
        </w:rPr>
        <w:t xml:space="preserve">Students making use of “The Portable” as a time out facility are expected to obtain permission prior to leaving other classrooms and proceed directly to The Portable. </w:t>
      </w:r>
    </w:p>
    <w:p w:rsidR="00002C7A" w:rsidRDefault="00002C7A" w:rsidP="00002C7A">
      <w:pPr>
        <w:autoSpaceDE w:val="0"/>
        <w:autoSpaceDN w:val="0"/>
        <w:ind w:left="720"/>
        <w:rPr>
          <w:rFonts w:ascii="Papyrus" w:hAnsi="Papyrus"/>
          <w:color w:val="231916"/>
          <w:sz w:val="20"/>
          <w:szCs w:val="20"/>
        </w:rPr>
      </w:pPr>
      <w:r>
        <w:rPr>
          <w:rFonts w:ascii="Papyrus" w:hAnsi="Papyrus"/>
          <w:color w:val="231916"/>
          <w:sz w:val="20"/>
          <w:szCs w:val="20"/>
        </w:rPr>
        <w:t>Following a cool down/discussion/refocus period, students are expected to return to class to re-engage in their learning.</w:t>
      </w:r>
    </w:p>
    <w:p w:rsidR="00002C7A" w:rsidRDefault="00002C7A" w:rsidP="00002C7A">
      <w:pPr>
        <w:autoSpaceDE w:val="0"/>
        <w:autoSpaceDN w:val="0"/>
        <w:ind w:left="720"/>
        <w:rPr>
          <w:rFonts w:ascii="Papyrus" w:hAnsi="Papyrus"/>
          <w:color w:val="231916"/>
          <w:sz w:val="20"/>
          <w:szCs w:val="20"/>
        </w:rPr>
      </w:pPr>
      <w:r>
        <w:rPr>
          <w:rFonts w:ascii="Papyrus" w:hAnsi="Papyrus"/>
          <w:color w:val="231916"/>
          <w:sz w:val="20"/>
          <w:szCs w:val="20"/>
        </w:rPr>
        <w:t>Cell phones are to be placed in the cell phone caddy upon arrival every day.</w:t>
      </w:r>
    </w:p>
    <w:p w:rsidR="00002C7A" w:rsidRDefault="00002C7A" w:rsidP="00002C7A">
      <w:pPr>
        <w:autoSpaceDE w:val="0"/>
        <w:autoSpaceDN w:val="0"/>
        <w:rPr>
          <w:rFonts w:ascii="Papyrus" w:hAnsi="Papyrus"/>
          <w:b/>
          <w:bCs/>
          <w:color w:val="231916"/>
          <w:sz w:val="20"/>
          <w:szCs w:val="20"/>
        </w:rPr>
      </w:pPr>
    </w:p>
    <w:p w:rsidR="00002C7A" w:rsidRDefault="00002C7A" w:rsidP="00002C7A">
      <w:pPr>
        <w:numPr>
          <w:ilvl w:val="0"/>
          <w:numId w:val="1"/>
        </w:numPr>
        <w:rPr>
          <w:rFonts w:ascii="Papyrus" w:eastAsia="Times New Roman" w:hAnsi="Papyrus"/>
          <w:sz w:val="20"/>
          <w:szCs w:val="20"/>
        </w:rPr>
      </w:pPr>
      <w:r>
        <w:rPr>
          <w:rFonts w:ascii="Papyrus" w:eastAsia="Times New Roman" w:hAnsi="Papyrus"/>
          <w:b/>
          <w:bCs/>
          <w:sz w:val="20"/>
          <w:szCs w:val="20"/>
          <w:u w:val="single"/>
        </w:rPr>
        <w:lastRenderedPageBreak/>
        <w:t xml:space="preserve">Grading </w:t>
      </w:r>
      <w:r>
        <w:rPr>
          <w:rFonts w:ascii="Papyrus" w:eastAsia="Times New Roman" w:hAnsi="Papyrus"/>
          <w:sz w:val="20"/>
          <w:szCs w:val="20"/>
        </w:rPr>
        <w:t>:</w:t>
      </w:r>
    </w:p>
    <w:p w:rsidR="00002C7A" w:rsidRDefault="00002C7A" w:rsidP="00002C7A">
      <w:pPr>
        <w:ind w:left="720"/>
        <w:rPr>
          <w:rFonts w:ascii="Papyrus" w:hAnsi="Papyrus"/>
          <w:sz w:val="20"/>
          <w:szCs w:val="20"/>
        </w:rPr>
      </w:pPr>
      <w:r>
        <w:rPr>
          <w:rFonts w:ascii="Papyrus" w:hAnsi="Papyrus"/>
          <w:sz w:val="20"/>
          <w:szCs w:val="20"/>
        </w:rPr>
        <w:t xml:space="preserve">A daily grade of one to ten will be issued based on each student’s individual program for students in Study Skills class. Students working on </w:t>
      </w:r>
      <w:proofErr w:type="spellStart"/>
      <w:r>
        <w:rPr>
          <w:rFonts w:ascii="Papyrus" w:hAnsi="Papyrus"/>
          <w:sz w:val="20"/>
          <w:szCs w:val="20"/>
        </w:rPr>
        <w:t>Oddysseyware</w:t>
      </w:r>
      <w:proofErr w:type="spellEnd"/>
      <w:r>
        <w:rPr>
          <w:rFonts w:ascii="Papyrus" w:hAnsi="Papyrus"/>
          <w:sz w:val="20"/>
          <w:szCs w:val="20"/>
        </w:rPr>
        <w:t xml:space="preserve"> have scheduled assignments daily as part of the program. Each student has a folder that contains a daily accounting of assignment(s) completed.</w:t>
      </w:r>
    </w:p>
    <w:p w:rsidR="00002C7A" w:rsidRDefault="00002C7A" w:rsidP="00002C7A">
      <w:pPr>
        <w:ind w:left="720"/>
        <w:rPr>
          <w:rFonts w:ascii="Papyrus" w:hAnsi="Papyrus"/>
          <w:sz w:val="20"/>
          <w:szCs w:val="20"/>
        </w:rPr>
      </w:pPr>
      <w:r>
        <w:rPr>
          <w:rFonts w:ascii="Papyrus" w:hAnsi="Papyrus"/>
          <w:sz w:val="20"/>
          <w:szCs w:val="20"/>
        </w:rPr>
        <w:t xml:space="preserve">90 – 100%             = A                                        </w:t>
      </w:r>
    </w:p>
    <w:p w:rsidR="00002C7A" w:rsidRDefault="00002C7A" w:rsidP="00002C7A">
      <w:pPr>
        <w:ind w:left="720"/>
        <w:rPr>
          <w:rFonts w:ascii="Papyrus" w:hAnsi="Papyrus"/>
          <w:sz w:val="20"/>
          <w:szCs w:val="20"/>
        </w:rPr>
      </w:pPr>
      <w:r>
        <w:rPr>
          <w:rFonts w:ascii="Papyrus" w:hAnsi="Papyrus"/>
          <w:sz w:val="20"/>
          <w:szCs w:val="20"/>
        </w:rPr>
        <w:t xml:space="preserve">80 – 89%               = B                                        </w:t>
      </w:r>
    </w:p>
    <w:p w:rsidR="00002C7A" w:rsidRDefault="00002C7A" w:rsidP="00002C7A">
      <w:pPr>
        <w:ind w:left="720"/>
        <w:rPr>
          <w:rFonts w:ascii="Papyrus" w:hAnsi="Papyrus"/>
          <w:sz w:val="20"/>
          <w:szCs w:val="20"/>
        </w:rPr>
      </w:pPr>
      <w:r>
        <w:rPr>
          <w:rFonts w:ascii="Papyrus" w:hAnsi="Papyrus"/>
          <w:sz w:val="20"/>
          <w:szCs w:val="20"/>
        </w:rPr>
        <w:t xml:space="preserve">70 – 79%               = C                                        </w:t>
      </w:r>
    </w:p>
    <w:p w:rsidR="00002C7A" w:rsidRDefault="00002C7A" w:rsidP="00002C7A">
      <w:pPr>
        <w:ind w:left="720"/>
        <w:rPr>
          <w:rFonts w:ascii="Papyrus" w:hAnsi="Papyrus"/>
          <w:sz w:val="20"/>
          <w:szCs w:val="20"/>
        </w:rPr>
      </w:pPr>
      <w:r>
        <w:rPr>
          <w:rFonts w:ascii="Papyrus" w:hAnsi="Papyrus"/>
          <w:sz w:val="20"/>
          <w:szCs w:val="20"/>
        </w:rPr>
        <w:t xml:space="preserve">60 – 69%               = D                                        </w:t>
      </w:r>
    </w:p>
    <w:p w:rsidR="00002C7A" w:rsidRDefault="00002C7A" w:rsidP="00002C7A">
      <w:pPr>
        <w:ind w:left="720"/>
        <w:rPr>
          <w:rFonts w:ascii="Papyrus" w:hAnsi="Papyrus"/>
          <w:sz w:val="20"/>
          <w:szCs w:val="20"/>
        </w:rPr>
      </w:pPr>
      <w:r>
        <w:rPr>
          <w:rFonts w:ascii="Papyrus" w:hAnsi="Papyrus"/>
          <w:sz w:val="20"/>
          <w:szCs w:val="20"/>
        </w:rPr>
        <w:t xml:space="preserve">59 and below = F                </w:t>
      </w:r>
    </w:p>
    <w:p w:rsidR="00002C7A" w:rsidRDefault="00002C7A" w:rsidP="00002C7A">
      <w:pPr>
        <w:autoSpaceDE w:val="0"/>
        <w:autoSpaceDN w:val="0"/>
        <w:ind w:left="720"/>
        <w:rPr>
          <w:rFonts w:ascii="Papyrus" w:hAnsi="Papyrus"/>
          <w:b/>
          <w:bCs/>
          <w:color w:val="231916"/>
          <w:sz w:val="20"/>
          <w:szCs w:val="20"/>
        </w:rPr>
      </w:pPr>
    </w:p>
    <w:p w:rsidR="00002C7A" w:rsidRDefault="00002C7A" w:rsidP="00002C7A">
      <w:pPr>
        <w:numPr>
          <w:ilvl w:val="0"/>
          <w:numId w:val="1"/>
        </w:numPr>
        <w:autoSpaceDE w:val="0"/>
        <w:autoSpaceDN w:val="0"/>
        <w:rPr>
          <w:rFonts w:ascii="Papyrus" w:eastAsia="Times New Roman" w:hAnsi="Papyrus"/>
          <w:b/>
          <w:bCs/>
          <w:color w:val="231916"/>
          <w:sz w:val="20"/>
          <w:szCs w:val="20"/>
        </w:rPr>
      </w:pPr>
      <w:r>
        <w:rPr>
          <w:rFonts w:ascii="Papyrus" w:eastAsia="Times New Roman" w:hAnsi="Papyrus"/>
          <w:b/>
          <w:bCs/>
          <w:color w:val="231916"/>
          <w:sz w:val="20"/>
          <w:szCs w:val="20"/>
        </w:rPr>
        <w:t>Weekly Progress Reports:</w:t>
      </w:r>
    </w:p>
    <w:p w:rsidR="00002C7A" w:rsidRDefault="00002C7A" w:rsidP="00002C7A">
      <w:pPr>
        <w:autoSpaceDE w:val="0"/>
        <w:autoSpaceDN w:val="0"/>
        <w:ind w:left="720"/>
        <w:rPr>
          <w:rFonts w:ascii="Papyrus" w:hAnsi="Papyrus"/>
          <w:b/>
          <w:bCs/>
          <w:color w:val="231916"/>
          <w:sz w:val="20"/>
          <w:szCs w:val="20"/>
        </w:rPr>
      </w:pPr>
      <w:r>
        <w:rPr>
          <w:rFonts w:ascii="Papyrus" w:hAnsi="Papyrus"/>
          <w:color w:val="231916"/>
          <w:sz w:val="20"/>
          <w:szCs w:val="20"/>
        </w:rPr>
        <w:t>Weekly Portable Progress Reports will be sent to teachers of students that are part of the IDP.  Teachers are asked to return the progress reports, and the reports may be forwarded to parents, caseworkers, counselors, mental health professional and court officers to ensure consistent communication. We can only forward reports that are returned. If parents have questions after consulting the Parent Portal, they are encouraged to contact teachers directly.</w:t>
      </w:r>
    </w:p>
    <w:p w:rsidR="00002C7A" w:rsidRDefault="00002C7A" w:rsidP="00002C7A">
      <w:pPr>
        <w:autoSpaceDE w:val="0"/>
        <w:autoSpaceDN w:val="0"/>
        <w:rPr>
          <w:rFonts w:ascii="Papyrus" w:hAnsi="Papyrus"/>
          <w:b/>
          <w:bCs/>
          <w:color w:val="231916"/>
          <w:sz w:val="20"/>
          <w:szCs w:val="20"/>
        </w:rPr>
      </w:pPr>
    </w:p>
    <w:p w:rsidR="00002C7A" w:rsidRDefault="00002C7A" w:rsidP="00002C7A">
      <w:pPr>
        <w:numPr>
          <w:ilvl w:val="0"/>
          <w:numId w:val="1"/>
        </w:numPr>
        <w:autoSpaceDE w:val="0"/>
        <w:autoSpaceDN w:val="0"/>
        <w:rPr>
          <w:rFonts w:ascii="Papyrus" w:eastAsia="Times New Roman" w:hAnsi="Papyrus"/>
          <w:b/>
          <w:bCs/>
          <w:color w:val="231916"/>
          <w:sz w:val="20"/>
          <w:szCs w:val="20"/>
        </w:rPr>
      </w:pPr>
      <w:r>
        <w:rPr>
          <w:rFonts w:ascii="Papyrus" w:eastAsia="Times New Roman" w:hAnsi="Papyrus"/>
          <w:b/>
          <w:bCs/>
          <w:color w:val="231916"/>
          <w:sz w:val="20"/>
          <w:szCs w:val="20"/>
        </w:rPr>
        <w:t>Additional Information</w:t>
      </w:r>
    </w:p>
    <w:p w:rsidR="00002C7A" w:rsidRDefault="00002C7A" w:rsidP="00002C7A">
      <w:pPr>
        <w:autoSpaceDE w:val="0"/>
        <w:autoSpaceDN w:val="0"/>
        <w:ind w:left="720"/>
        <w:rPr>
          <w:rFonts w:ascii="Papyrus" w:hAnsi="Papyrus"/>
          <w:color w:val="231916"/>
          <w:sz w:val="20"/>
          <w:szCs w:val="20"/>
        </w:rPr>
      </w:pPr>
      <w:r>
        <w:rPr>
          <w:rFonts w:ascii="Papyrus" w:hAnsi="Papyrus"/>
          <w:color w:val="231916"/>
          <w:sz w:val="20"/>
          <w:szCs w:val="20"/>
        </w:rPr>
        <w:t>Feel free to call, text or email me at any time:</w:t>
      </w:r>
    </w:p>
    <w:p w:rsidR="00002C7A" w:rsidRDefault="00002C7A" w:rsidP="00002C7A">
      <w:pPr>
        <w:autoSpaceDE w:val="0"/>
        <w:autoSpaceDN w:val="0"/>
        <w:ind w:left="720"/>
        <w:rPr>
          <w:rFonts w:ascii="Papyrus" w:hAnsi="Papyrus"/>
          <w:color w:val="231916"/>
          <w:sz w:val="20"/>
          <w:szCs w:val="20"/>
        </w:rPr>
      </w:pPr>
      <w:r>
        <w:rPr>
          <w:rFonts w:ascii="Papyrus" w:hAnsi="Papyrus"/>
          <w:color w:val="231916"/>
          <w:sz w:val="20"/>
          <w:szCs w:val="20"/>
        </w:rPr>
        <w:t>Tommy Steele</w:t>
      </w:r>
    </w:p>
    <w:p w:rsidR="00002C7A" w:rsidRDefault="00ED197A" w:rsidP="00002C7A">
      <w:pPr>
        <w:autoSpaceDE w:val="0"/>
        <w:autoSpaceDN w:val="0"/>
        <w:ind w:left="720"/>
        <w:rPr>
          <w:rFonts w:ascii="Papyrus" w:hAnsi="Papyrus"/>
          <w:color w:val="231916"/>
          <w:sz w:val="20"/>
          <w:szCs w:val="20"/>
        </w:rPr>
      </w:pPr>
      <w:hyperlink r:id="rId6" w:history="1">
        <w:r w:rsidR="00002C7A">
          <w:rPr>
            <w:rStyle w:val="Hyperlink"/>
            <w:rFonts w:ascii="Papyrus" w:hAnsi="Papyrus"/>
            <w:sz w:val="20"/>
            <w:szCs w:val="20"/>
          </w:rPr>
          <w:t>tsteele@amphi.com</w:t>
        </w:r>
      </w:hyperlink>
    </w:p>
    <w:p w:rsidR="00002C7A" w:rsidRDefault="00002C7A" w:rsidP="00002C7A">
      <w:pPr>
        <w:autoSpaceDE w:val="0"/>
        <w:autoSpaceDN w:val="0"/>
        <w:ind w:left="720"/>
        <w:rPr>
          <w:rFonts w:ascii="Papyrus" w:hAnsi="Papyrus"/>
          <w:color w:val="231916"/>
          <w:sz w:val="20"/>
          <w:szCs w:val="20"/>
        </w:rPr>
      </w:pPr>
      <w:r>
        <w:rPr>
          <w:rFonts w:ascii="Papyrus" w:hAnsi="Papyrus"/>
          <w:color w:val="231916"/>
          <w:sz w:val="20"/>
          <w:szCs w:val="20"/>
        </w:rPr>
        <w:t>520-419-6980</w:t>
      </w:r>
    </w:p>
    <w:p w:rsidR="00002C7A" w:rsidRDefault="00002C7A" w:rsidP="00002C7A">
      <w:pPr>
        <w:autoSpaceDE w:val="0"/>
        <w:autoSpaceDN w:val="0"/>
        <w:ind w:left="720"/>
        <w:rPr>
          <w:rFonts w:ascii="Papyrus" w:hAnsi="Papyrus"/>
          <w:color w:val="231916"/>
          <w:sz w:val="20"/>
          <w:szCs w:val="20"/>
        </w:rPr>
      </w:pPr>
    </w:p>
    <w:p w:rsidR="00002C7A" w:rsidRDefault="00002C7A" w:rsidP="00002C7A">
      <w:pPr>
        <w:autoSpaceDE w:val="0"/>
        <w:autoSpaceDN w:val="0"/>
        <w:ind w:left="720"/>
        <w:rPr>
          <w:rFonts w:ascii="Papyrus" w:hAnsi="Papyrus"/>
          <w:color w:val="231916"/>
          <w:sz w:val="20"/>
          <w:szCs w:val="20"/>
        </w:rPr>
      </w:pPr>
    </w:p>
    <w:p w:rsidR="00002C7A" w:rsidRDefault="00002C7A" w:rsidP="00002C7A">
      <w:pPr>
        <w:autoSpaceDE w:val="0"/>
        <w:autoSpaceDN w:val="0"/>
        <w:rPr>
          <w:rFonts w:ascii="Papyrus" w:hAnsi="Papyrus"/>
          <w:color w:val="231916"/>
          <w:sz w:val="20"/>
          <w:szCs w:val="20"/>
        </w:rPr>
      </w:pPr>
    </w:p>
    <w:p w:rsidR="00002C7A" w:rsidRDefault="00002C7A" w:rsidP="00002C7A">
      <w:pPr>
        <w:autoSpaceDE w:val="0"/>
        <w:autoSpaceDN w:val="0"/>
        <w:rPr>
          <w:rFonts w:ascii="Papyrus" w:hAnsi="Papyrus"/>
          <w:color w:val="231916"/>
          <w:sz w:val="20"/>
          <w:szCs w:val="20"/>
        </w:rPr>
      </w:pPr>
    </w:p>
    <w:p w:rsidR="00002C7A" w:rsidRDefault="00002C7A" w:rsidP="00002C7A">
      <w:pPr>
        <w:autoSpaceDE w:val="0"/>
        <w:autoSpaceDN w:val="0"/>
        <w:rPr>
          <w:rFonts w:ascii="Papyrus" w:hAnsi="Papyrus"/>
          <w:color w:val="231916"/>
          <w:sz w:val="20"/>
          <w:szCs w:val="20"/>
        </w:rPr>
      </w:pPr>
    </w:p>
    <w:p w:rsidR="00002C7A" w:rsidRDefault="00002C7A" w:rsidP="00002C7A">
      <w:pPr>
        <w:rPr>
          <w:rFonts w:ascii="Calibri" w:hAnsi="Calibri"/>
          <w:sz w:val="22"/>
          <w:szCs w:val="22"/>
        </w:rPr>
      </w:pPr>
    </w:p>
    <w:p w:rsidR="006325AE" w:rsidRDefault="00ED197A"/>
    <w:sectPr w:rsidR="00632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018AA"/>
    <w:multiLevelType w:val="hybridMultilevel"/>
    <w:tmpl w:val="D600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7A"/>
    <w:rsid w:val="00002C7A"/>
    <w:rsid w:val="003A581F"/>
    <w:rsid w:val="00640EA4"/>
    <w:rsid w:val="009B51C7"/>
    <w:rsid w:val="00BE0A3A"/>
    <w:rsid w:val="00ED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E7AE5-EB86-499E-B7E0-75CD9CA8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empus Sans ITC" w:eastAsiaTheme="minorHAnsi" w:hAnsi="Tempus Sans IT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teele@amphi.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Konecny, Paul</dc:creator>
  <cp:lastModifiedBy>Steele, Thomas</cp:lastModifiedBy>
  <cp:revision>3</cp:revision>
  <dcterms:created xsi:type="dcterms:W3CDTF">2018-03-27T19:45:00Z</dcterms:created>
  <dcterms:modified xsi:type="dcterms:W3CDTF">2018-03-27T20:04:00Z</dcterms:modified>
</cp:coreProperties>
</file>